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BC" w:rsidRPr="002C6DAF" w:rsidRDefault="004B02BC" w:rsidP="001A3DF3">
      <w:pPr>
        <w:widowControl w:val="0"/>
        <w:overflowPunct w:val="0"/>
        <w:rPr>
          <w:b/>
          <w:i/>
          <w:u w:val="single"/>
        </w:rPr>
      </w:pPr>
      <w:r w:rsidRPr="002C6DAF">
        <w:rPr>
          <w:b/>
          <w:i/>
          <w:u w:val="single"/>
        </w:rPr>
        <w:t>De levensexecuteur, uitvoerder van het levenstestament.</w:t>
      </w:r>
    </w:p>
    <w:p w:rsidR="001A3DF3" w:rsidRPr="001A3DF3" w:rsidRDefault="001A3DF3" w:rsidP="001A3DF3">
      <w:pPr>
        <w:widowControl w:val="0"/>
        <w:overflowPunct w:val="0"/>
        <w:rPr>
          <w:i/>
          <w:u w:val="single"/>
        </w:rPr>
      </w:pPr>
    </w:p>
    <w:p w:rsidR="004B02BC" w:rsidRDefault="004B02BC" w:rsidP="001A3DF3">
      <w:pPr>
        <w:widowControl w:val="0"/>
        <w:overflowPunct w:val="0"/>
      </w:pPr>
      <w:r w:rsidRPr="001A3DF3">
        <w:t xml:space="preserve">In een eerdere bijdrage is stilgestaan bij de juridische noodzaak om een levenstestament op te maken, teneinde allerlei zaken bij in leven zijn te regelen, in situaties dat iemand niet meer zelf bij machte is om deze zaken te regelen, </w:t>
      </w:r>
      <w:r w:rsidR="00F43DBF">
        <w:t xml:space="preserve">bijvoorbeeld </w:t>
      </w:r>
      <w:r w:rsidRPr="001A3DF3">
        <w:t>bij ziekte</w:t>
      </w:r>
      <w:r w:rsidR="00F43DBF">
        <w:t>, wilsonbekwaamheid</w:t>
      </w:r>
      <w:r w:rsidRPr="001A3DF3">
        <w:t xml:space="preserve"> of bij afwezigheid.</w:t>
      </w:r>
    </w:p>
    <w:p w:rsidR="001A3DF3" w:rsidRPr="001A3DF3" w:rsidRDefault="001A3DF3" w:rsidP="001A3DF3">
      <w:pPr>
        <w:widowControl w:val="0"/>
        <w:overflowPunct w:val="0"/>
      </w:pPr>
    </w:p>
    <w:p w:rsidR="004B02BC" w:rsidRPr="001A3DF3" w:rsidRDefault="004B02BC" w:rsidP="001A3DF3">
      <w:pPr>
        <w:widowControl w:val="0"/>
        <w:overflowPunct w:val="0"/>
      </w:pPr>
      <w:r w:rsidRPr="001A3DF3">
        <w:t>In deze bijdrage zal wat dieper in worden gegaan op de persoon die deze zaken zal gaan behartigen, de zgn "levensexecuteur".</w:t>
      </w:r>
    </w:p>
    <w:p w:rsidR="001A3DF3" w:rsidRDefault="004B02BC" w:rsidP="001A3DF3">
      <w:pPr>
        <w:widowControl w:val="0"/>
        <w:overflowPunct w:val="0"/>
      </w:pPr>
      <w:r w:rsidRPr="001A3DF3">
        <w:t xml:space="preserve">De levensexecuteur kan zijn juridische bevoegdheden op verschillende wijzen verkrijgen. Te denken valt aan: een volmacht, door bewindvoering, door regels van curatele, door mentorschap, via lastgeving of opdracht, maar ook via statuten van een B.V., door procuratie van de B.V. of haar bestuurder. </w:t>
      </w:r>
    </w:p>
    <w:p w:rsidR="004B02BC" w:rsidRDefault="004B02BC" w:rsidP="001A3DF3">
      <w:pPr>
        <w:widowControl w:val="0"/>
        <w:overflowPunct w:val="0"/>
      </w:pPr>
      <w:r w:rsidRPr="001A3DF3">
        <w:t>De opdrachtgever blijft (zeker ingeval van een volmacht)</w:t>
      </w:r>
      <w:r w:rsidR="001A3DF3">
        <w:t xml:space="preserve"> in de meeste gevallen evenwel nog steeds zelfstandig bevoegd.</w:t>
      </w:r>
    </w:p>
    <w:p w:rsidR="001A3DF3" w:rsidRPr="001A3DF3" w:rsidRDefault="001A3DF3" w:rsidP="001A3DF3">
      <w:pPr>
        <w:widowControl w:val="0"/>
        <w:overflowPunct w:val="0"/>
      </w:pPr>
    </w:p>
    <w:p w:rsidR="004B02BC" w:rsidRDefault="004B02BC" w:rsidP="001A3DF3">
      <w:pPr>
        <w:widowControl w:val="0"/>
        <w:overflowPunct w:val="0"/>
      </w:pPr>
      <w:r w:rsidRPr="001A3DF3">
        <w:t>Het moge duidelijk zijn dat een levensexecuteur op deze wijze algehele maar ook beperkte bevoegdheid kan verkrijgen om iemand te vertegenwoordigen. Bij veel mensen bestaat evenwel de angst dat men de regie over zijn eigen handelen volledig kwijt raakt ingeval van benoeming van een levensexecuteur. Dit is zeker niet zo. Immers, door duidelijke instructies te geven aan de levensexecuteur dient deze binnen deze gestelde grenzen te handelen. Verder kan overwogen worden om meerdere levensexecuteurs te benoemen (bijv 2 kinderen) die slechts tezamen kunnen handelen, dan wel levensexecuteurs te benoemen voor verschillende vermogensbestanddelen. Er kan verder overwogen worden om aan de levensexecuteur de plicht op te leggen om rekening en verantwoording af te leggen over diens handelen. Daarnaast blijft, zeker bij gebruik van een volmacht, de opdrachtgever altijd zelf bevoegd om te blijven handelen en kan een volmacht altijd worden herroepen of opgezegd.</w:t>
      </w:r>
    </w:p>
    <w:p w:rsidR="001A3DF3" w:rsidRPr="001A3DF3" w:rsidRDefault="001A3DF3" w:rsidP="001A3DF3">
      <w:pPr>
        <w:widowControl w:val="0"/>
        <w:overflowPunct w:val="0"/>
      </w:pPr>
    </w:p>
    <w:p w:rsidR="004B02BC" w:rsidRPr="001A3DF3" w:rsidRDefault="004B02BC" w:rsidP="001A3DF3">
      <w:pPr>
        <w:widowControl w:val="0"/>
        <w:overflowPunct w:val="0"/>
      </w:pPr>
      <w:r w:rsidRPr="001A3DF3">
        <w:t xml:space="preserve">Aandachtsgebieden waar instructies afgegeven kunnen worden cq </w:t>
      </w:r>
      <w:r w:rsidR="00911430">
        <w:t xml:space="preserve">de noodzaak van benoeming </w:t>
      </w:r>
      <w:r w:rsidRPr="001A3DF3">
        <w:t>geïnventariseerd kan worden betreffen:</w:t>
      </w:r>
    </w:p>
    <w:p w:rsidR="004B02BC" w:rsidRPr="001A3DF3" w:rsidRDefault="004B02BC" w:rsidP="001A3DF3">
      <w:pPr>
        <w:widowControl w:val="0"/>
        <w:overflowPunct w:val="0"/>
      </w:pPr>
      <w:r w:rsidRPr="001A3DF3">
        <w:t>a) bancaire zaken: de afgifte van bankvolmachten, richtlijnen inzake beleggingsbeleid</w:t>
      </w:r>
      <w:r w:rsidR="001A3DF3">
        <w:t xml:space="preserve"> bij een effectenportefeuille</w:t>
      </w:r>
      <w:r w:rsidRPr="001A3DF3">
        <w:t>;</w:t>
      </w:r>
    </w:p>
    <w:p w:rsidR="004B02BC" w:rsidRPr="001A3DF3" w:rsidRDefault="004B02BC" w:rsidP="001A3DF3">
      <w:pPr>
        <w:widowControl w:val="0"/>
        <w:overflowPunct w:val="0"/>
      </w:pPr>
      <w:r w:rsidRPr="001A3DF3">
        <w:t>b) verzorging: wensen omtrent al dan niet particuliere verzorging, dan wel voorkeur voor een zorginstelling;</w:t>
      </w:r>
    </w:p>
    <w:p w:rsidR="004B02BC" w:rsidRDefault="004B02BC" w:rsidP="001A3DF3">
      <w:pPr>
        <w:widowControl w:val="0"/>
        <w:overflowPunct w:val="0"/>
      </w:pPr>
      <w:r w:rsidRPr="001A3DF3">
        <w:t>c) vermogen: de woninghypotheek</w:t>
      </w:r>
      <w:r w:rsidR="00F43DBF">
        <w:t xml:space="preserve"> (vervroegde aflossingen, keuzen omtrent rentevaste-perioden etc)</w:t>
      </w:r>
      <w:r w:rsidRPr="001A3DF3">
        <w:t>, vermogen in het buitenland, beheer van kunst of verzamelingen;</w:t>
      </w:r>
    </w:p>
    <w:p w:rsidR="00FC58FB" w:rsidRPr="001A3DF3" w:rsidRDefault="00FC58FB" w:rsidP="001A3DF3">
      <w:pPr>
        <w:widowControl w:val="0"/>
        <w:overflowPunct w:val="0"/>
      </w:pPr>
      <w:r>
        <w:t xml:space="preserve">d) de onderneming: continuïteit, bankzaken zoals betalingen van </w:t>
      </w:r>
      <w:r w:rsidR="000020C2">
        <w:t xml:space="preserve">salaris van het </w:t>
      </w:r>
      <w:r>
        <w:t>personeel en leveranciers, estate planning etc;</w:t>
      </w:r>
    </w:p>
    <w:p w:rsidR="004B02BC" w:rsidRPr="001A3DF3" w:rsidRDefault="00FC58FB" w:rsidP="001A3DF3">
      <w:pPr>
        <w:widowControl w:val="0"/>
        <w:overflowPunct w:val="0"/>
      </w:pPr>
      <w:r>
        <w:t>e</w:t>
      </w:r>
      <w:r w:rsidR="004B02BC" w:rsidRPr="001A3DF3">
        <w:t>) medische zaken.</w:t>
      </w:r>
    </w:p>
    <w:p w:rsidR="004B02BC" w:rsidRDefault="004B02BC" w:rsidP="001A3DF3">
      <w:pPr>
        <w:widowControl w:val="0"/>
        <w:overflowPunct w:val="0"/>
      </w:pPr>
    </w:p>
    <w:p w:rsidR="001A3DF3" w:rsidRDefault="00F43DBF" w:rsidP="001A3DF3">
      <w:pPr>
        <w:widowControl w:val="0"/>
        <w:overflowPunct w:val="0"/>
      </w:pPr>
      <w:r>
        <w:t>Voor medische zaken is vooral de juridische kant van de geneeskundige behandelovereenkomst van belang.</w:t>
      </w:r>
    </w:p>
    <w:p w:rsidR="00F43DBF" w:rsidRDefault="00F43DBF" w:rsidP="001A3DF3">
      <w:pPr>
        <w:widowControl w:val="0"/>
        <w:overflowPunct w:val="0"/>
      </w:pPr>
      <w:r>
        <w:lastRenderedPageBreak/>
        <w:t>Immers, om een medische ingreep te kunnen verrichten, is een toestemming van de patiënt noodzakelijk. Wat te doen als de patiënt wilsonbekwaam is ?</w:t>
      </w:r>
    </w:p>
    <w:p w:rsidR="00F43DBF" w:rsidRDefault="00F43DBF" w:rsidP="001A3DF3">
      <w:pPr>
        <w:widowControl w:val="0"/>
        <w:overflowPunct w:val="0"/>
      </w:pPr>
      <w:r>
        <w:t>Ik wijs u op het bepaalde van artikel 7: 465 lid 3 Burgerlijk Wetboek:</w:t>
      </w:r>
    </w:p>
    <w:p w:rsidR="00F43DBF" w:rsidRPr="00F43DBF" w:rsidRDefault="00F43DBF" w:rsidP="001A3DF3">
      <w:pPr>
        <w:widowControl w:val="0"/>
        <w:overflowPunct w:val="0"/>
        <w:rPr>
          <w:i/>
        </w:rPr>
      </w:pPr>
      <w:r w:rsidRPr="00F43DBF">
        <w:rPr>
          <w:rFonts w:ascii="Arial" w:hAnsi="Arial" w:cs="Arial"/>
          <w:i/>
          <w:sz w:val="20"/>
          <w:szCs w:val="20"/>
        </w:rPr>
        <w:t xml:space="preserve">Indien een meerderjarige patiënt die niet in staat kan worden geacht tot een redelijke waardering van zijn belangen ter zake, niet onder curatele staat of ten behoeve van hem niet het mentorschap is ingesteld, worden de verplichtingen die voor de hulpverlener uit deze afdeling jegens de patiënt voortvloeien, door de hulpverlener nagekomen jegens de persoon die daartoe </w:t>
      </w:r>
      <w:r w:rsidRPr="00836D4D">
        <w:rPr>
          <w:rFonts w:ascii="Arial" w:hAnsi="Arial" w:cs="Arial"/>
          <w:b/>
          <w:i/>
          <w:sz w:val="20"/>
          <w:szCs w:val="20"/>
          <w:u w:val="single"/>
        </w:rPr>
        <w:t>door de patiënt schriftelijk is gemachtigd</w:t>
      </w:r>
      <w:r w:rsidRPr="00F43DBF">
        <w:rPr>
          <w:rFonts w:ascii="Arial" w:hAnsi="Arial" w:cs="Arial"/>
          <w:i/>
          <w:sz w:val="20"/>
          <w:szCs w:val="20"/>
        </w:rPr>
        <w:t xml:space="preserve"> in zijn plaats op te treden. Ontbreekt zodanige persoon, of treedt deze niet op, dan worden de verplichtingen nagekomen jegens de echtgenoot, de geregistreerde partner of andere levensgezel van de patiënt, tenzij deze persoon dat niet wenst, dan wel, indien ook zodanige persoon ontbreekt, jegens een ouder, kind, broer of zus van de patiënt, tenzij deze persoon dat niet wenst.</w:t>
      </w:r>
    </w:p>
    <w:p w:rsidR="00F43DBF" w:rsidRDefault="00F43DBF" w:rsidP="00F43DBF">
      <w:pPr>
        <w:widowControl w:val="0"/>
        <w:overflowPunct w:val="0"/>
      </w:pPr>
    </w:p>
    <w:p w:rsidR="00F43DBF" w:rsidRDefault="00836D4D" w:rsidP="00F43DBF">
      <w:pPr>
        <w:widowControl w:val="0"/>
        <w:overflowPunct w:val="0"/>
      </w:pPr>
      <w:r>
        <w:t>De levensexecuteur kan hier dus ook iets betekenen en het is juridisch dus van belang om specifieke wensen zo kenbaar te maken in een levenstestament</w:t>
      </w:r>
      <w:r w:rsidR="00911430">
        <w:t>, zodat de levensexecuteur deze wensen kan uitvoeren</w:t>
      </w:r>
      <w:r>
        <w:t>.</w:t>
      </w:r>
    </w:p>
    <w:p w:rsidR="00836D4D" w:rsidRDefault="00836D4D" w:rsidP="00F43DBF">
      <w:pPr>
        <w:widowControl w:val="0"/>
        <w:overflowPunct w:val="0"/>
      </w:pPr>
      <w:r>
        <w:t>Denk hierbij ook aan het opnemen van een wel – of niet behandelverklaring of een euthanasieverzoek in een levenstestament.</w:t>
      </w:r>
    </w:p>
    <w:p w:rsidR="00836D4D" w:rsidRDefault="00836D4D" w:rsidP="00F43DBF">
      <w:pPr>
        <w:widowControl w:val="0"/>
        <w:overflowPunct w:val="0"/>
      </w:pPr>
      <w:r>
        <w:t>Levensverlengde handelingen kunnen zo wel of niet ingezet worden op een patiënt, afhankelijk van de geuite wensen van de patiënt.</w:t>
      </w:r>
    </w:p>
    <w:p w:rsidR="000E7337" w:rsidRDefault="000E7337" w:rsidP="00F43DBF">
      <w:pPr>
        <w:widowControl w:val="0"/>
        <w:overflowPunct w:val="0"/>
      </w:pPr>
    </w:p>
    <w:p w:rsidR="00911430" w:rsidRDefault="00911430" w:rsidP="00F43DBF">
      <w:pPr>
        <w:widowControl w:val="0"/>
        <w:overflowPunct w:val="0"/>
      </w:pPr>
    </w:p>
    <w:p w:rsidR="000E7337" w:rsidRDefault="000E7337" w:rsidP="00F43DBF">
      <w:pPr>
        <w:widowControl w:val="0"/>
        <w:overflowPunct w:val="0"/>
      </w:pPr>
      <w:r>
        <w:t>Mr Drs W.J.M. Strijk</w:t>
      </w:r>
    </w:p>
    <w:p w:rsidR="004B02BC" w:rsidRPr="001A3DF3" w:rsidRDefault="000E7337" w:rsidP="001A3DF3">
      <w:pPr>
        <w:widowControl w:val="0"/>
        <w:overflowPunct w:val="0"/>
      </w:pPr>
      <w:r>
        <w:t>Kammeraad &amp; Strijk Notarissen</w:t>
      </w:r>
    </w:p>
    <w:sectPr w:rsidR="004B02BC" w:rsidRPr="001A3DF3" w:rsidSect="00404907">
      <w:headerReference w:type="even" r:id="rId6"/>
      <w:headerReference w:type="default" r:id="rId7"/>
      <w:headerReference w:type="first" r:id="rId8"/>
      <w:pgSz w:w="11906" w:h="16838" w:code="9"/>
      <w:pgMar w:top="2948" w:right="1985" w:bottom="1701" w:left="1985"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F3" w:rsidRDefault="001A3DF3">
      <w:r>
        <w:separator/>
      </w:r>
    </w:p>
  </w:endnote>
  <w:endnote w:type="continuationSeparator" w:id="0">
    <w:p w:rsidR="001A3DF3" w:rsidRDefault="001A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F3" w:rsidRDefault="001A3DF3">
      <w:r>
        <w:separator/>
      </w:r>
    </w:p>
  </w:footnote>
  <w:footnote w:type="continuationSeparator" w:id="0">
    <w:p w:rsidR="001A3DF3" w:rsidRDefault="001A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F3" w:rsidRDefault="007779AC">
    <w:pPr>
      <w:pStyle w:val="Koptekst"/>
      <w:framePr w:wrap="around" w:vAnchor="text" w:hAnchor="margin" w:xAlign="right" w:y="1"/>
      <w:rPr>
        <w:rStyle w:val="Paginanummer"/>
      </w:rPr>
    </w:pPr>
    <w:r>
      <w:rPr>
        <w:rStyle w:val="Paginanummer"/>
      </w:rPr>
      <w:fldChar w:fldCharType="begin"/>
    </w:r>
    <w:r w:rsidR="001A3DF3">
      <w:rPr>
        <w:rStyle w:val="Paginanummer"/>
      </w:rPr>
      <w:instrText xml:space="preserve">PAGE  </w:instrText>
    </w:r>
    <w:r>
      <w:rPr>
        <w:rStyle w:val="Paginanummer"/>
      </w:rPr>
      <w:fldChar w:fldCharType="end"/>
    </w:r>
  </w:p>
  <w:p w:rsidR="001A3DF3" w:rsidRDefault="001A3DF3">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753548">
    <w:pPr>
      <w:ind w:right="72"/>
    </w:pPr>
  </w:p>
  <w:p w:rsidR="001A3DF3" w:rsidRDefault="001A3DF3" w:rsidP="00BB15A3">
    <w:pPr>
      <w:ind w:right="72"/>
      <w:jc w:val="right"/>
      <w:rPr>
        <w:rStyle w:val="Paginanummer"/>
        <w:rFonts w:ascii="Times New Roman" w:hAnsi="Times New Roman"/>
      </w:rPr>
    </w:pPr>
    <w:r>
      <w:rPr>
        <w:rStyle w:val="Paginanummer"/>
        <w:rFonts w:ascii="Times New Roman" w:hAnsi="Times New Roman"/>
      </w:rPr>
      <w:tab/>
      <w:t xml:space="preserve">Blad </w:t>
    </w:r>
    <w:r w:rsidR="007779AC"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007779AC" w:rsidRPr="00B16965">
      <w:rPr>
        <w:rStyle w:val="Paginanummer"/>
        <w:rFonts w:ascii="Times New Roman" w:hAnsi="Times New Roman"/>
      </w:rPr>
      <w:fldChar w:fldCharType="separate"/>
    </w:r>
    <w:r w:rsidR="00430500">
      <w:rPr>
        <w:rStyle w:val="Paginanummer"/>
        <w:rFonts w:ascii="Times New Roman" w:hAnsi="Times New Roman"/>
        <w:noProof/>
      </w:rPr>
      <w:t>2</w:t>
    </w:r>
    <w:r w:rsidR="007779AC" w:rsidRPr="00B16965">
      <w:rPr>
        <w:rStyle w:val="Paginanummer"/>
        <w:rFonts w:ascii="Times New Roman" w:hAnsi="Times New Roman"/>
      </w:rPr>
      <w:fldChar w:fldCharType="end"/>
    </w:r>
  </w:p>
  <w:p w:rsidR="001A3DF3" w:rsidRPr="00B16965" w:rsidRDefault="001A3DF3" w:rsidP="00B16965">
    <w:pPr>
      <w:tabs>
        <w:tab w:val="right" w:pos="8634"/>
      </w:tabs>
      <w:ind w:right="72"/>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F3" w:rsidRPr="00410BD3" w:rsidRDefault="001A3DF3" w:rsidP="00404907">
    <w:pPr>
      <w:pStyle w:val="Koptekst"/>
      <w:tabs>
        <w:tab w:val="clear" w:pos="9072"/>
        <w:tab w:val="right" w:pos="8460"/>
      </w:tabs>
      <w:ind w:left="-1260"/>
      <w:rPr>
        <w:sz w:val="20"/>
        <w:szCs w:val="20"/>
      </w:rPr>
    </w:pPr>
    <w:r w:rsidRPr="00410BD3">
      <w:rPr>
        <w:sz w:val="20"/>
        <w:szCs w:val="20"/>
      </w:rPr>
      <w:t>Ref:</w:t>
    </w:r>
    <w:bookmarkStart w:id="0" w:name="dossiernummer"/>
    <w:bookmarkEnd w:id="0"/>
    <w:r>
      <w:rPr>
        <w:sz w:val="20"/>
        <w:szCs w:val="20"/>
      </w:rPr>
      <w:t>/</w:t>
    </w:r>
    <w:bookmarkStart w:id="1" w:name="behandelaar"/>
    <w:bookmarkEnd w:id="1"/>
    <w:r>
      <w:rPr>
        <w:sz w:val="20"/>
        <w:szCs w:val="20"/>
      </w:rPr>
      <w:t>/</w:t>
    </w:r>
    <w:bookmarkStart w:id="2" w:name="secretaresse"/>
    <w:bookmarkEnd w:id="2"/>
  </w:p>
  <w:p w:rsidR="001A3DF3" w:rsidRDefault="001A3DF3">
    <w:pPr>
      <w:pStyle w:val="Koptekst"/>
    </w:pPr>
  </w:p>
  <w:p w:rsidR="001A3DF3" w:rsidRDefault="001A3DF3">
    <w:pPr>
      <w:pStyle w:val="Koptekst"/>
    </w:pPr>
  </w:p>
  <w:p w:rsidR="001A3DF3" w:rsidRDefault="001A3DF3">
    <w:pPr>
      <w:pStyle w:val="Koptekst"/>
    </w:pPr>
  </w:p>
  <w:p w:rsidR="001A3DF3" w:rsidRDefault="001A3DF3" w:rsidP="00F34532">
    <w:pPr>
      <w:pStyle w:val="Koptekst"/>
      <w:jc w:val="center"/>
      <w:rPr>
        <w:b/>
        <w:caps/>
        <w:szCs w:val="22"/>
        <w:u w:val="single"/>
      </w:rPr>
    </w:pPr>
    <w:bookmarkStart w:id="3" w:name="Titel"/>
    <w:bookmarkEnd w:id="3"/>
  </w:p>
  <w:p w:rsidR="001A3DF3" w:rsidRDefault="001A3DF3" w:rsidP="00F34532">
    <w:pPr>
      <w:pStyle w:val="Koptekst"/>
      <w:jc w:val="center"/>
      <w:rPr>
        <w:b/>
        <w:caps/>
        <w:szCs w:val="22"/>
        <w:u w:val="single"/>
      </w:rPr>
    </w:pPr>
  </w:p>
  <w:p w:rsidR="001A3DF3" w:rsidRDefault="001A3DF3" w:rsidP="00F34532">
    <w:pPr>
      <w:pStyle w:val="Koptekst"/>
      <w:jc w:val="center"/>
      <w:rPr>
        <w:b/>
        <w:caps/>
        <w:szCs w:val="22"/>
        <w:u w:val="single"/>
      </w:rPr>
    </w:pPr>
  </w:p>
  <w:p w:rsidR="001A3DF3" w:rsidRDefault="007779AC" w:rsidP="00F34532">
    <w:pPr>
      <w:pStyle w:val="Koptekst"/>
      <w:jc w:val="center"/>
      <w:rPr>
        <w:b/>
        <w:caps/>
        <w:szCs w:val="22"/>
        <w:u w:val="single"/>
      </w:rPr>
    </w:pPr>
    <w:r w:rsidRPr="007779AC">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1A3DF3" w:rsidRPr="00404907" w:rsidRDefault="001A3DF3">
                <w:r w:rsidRPr="00404907">
                  <w:rPr>
                    <w:rStyle w:val="Paginanummer"/>
                    <w:rFonts w:ascii="Times New Roman" w:hAnsi="Times New Roman"/>
                  </w:rPr>
                  <w:t xml:space="preserve">Blad </w:t>
                </w:r>
                <w:r w:rsidR="007779AC"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007779AC" w:rsidRPr="00404907">
                  <w:rPr>
                    <w:rStyle w:val="Paginanummer"/>
                    <w:rFonts w:ascii="Times New Roman" w:hAnsi="Times New Roman"/>
                  </w:rPr>
                  <w:fldChar w:fldCharType="separate"/>
                </w:r>
                <w:r w:rsidR="000020C2">
                  <w:rPr>
                    <w:rStyle w:val="Paginanummer"/>
                    <w:rFonts w:ascii="Times New Roman" w:hAnsi="Times New Roman"/>
                    <w:noProof/>
                  </w:rPr>
                  <w:t>1</w:t>
                </w:r>
                <w:r w:rsidR="007779AC" w:rsidRPr="00404907">
                  <w:rPr>
                    <w:rStyle w:val="Paginanummer"/>
                    <w:rFonts w:ascii="Times New Roman" w:hAnsi="Times New Roman"/>
                  </w:rPr>
                  <w:fldChar w:fldCharType="end"/>
                </w:r>
              </w:p>
            </w:txbxContent>
          </v:textbox>
        </v:shape>
      </w:pict>
    </w:r>
  </w:p>
  <w:p w:rsidR="001A3DF3" w:rsidRPr="00CE6765" w:rsidRDefault="001A3DF3" w:rsidP="00CE6765">
    <w:pPr>
      <w:pStyle w:val="Koptekst"/>
      <w:jc w:val="right"/>
      <w:rPr>
        <w:cap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A3DF3"/>
    <w:rsid w:val="000020C2"/>
    <w:rsid w:val="00047D7A"/>
    <w:rsid w:val="00060290"/>
    <w:rsid w:val="000A2621"/>
    <w:rsid w:val="000D0F1D"/>
    <w:rsid w:val="000D6591"/>
    <w:rsid w:val="000E7337"/>
    <w:rsid w:val="00106838"/>
    <w:rsid w:val="00123979"/>
    <w:rsid w:val="00157071"/>
    <w:rsid w:val="00160859"/>
    <w:rsid w:val="00171FE8"/>
    <w:rsid w:val="001739F9"/>
    <w:rsid w:val="00194271"/>
    <w:rsid w:val="001A3DF3"/>
    <w:rsid w:val="001D07FE"/>
    <w:rsid w:val="001E4FBF"/>
    <w:rsid w:val="002C6DAF"/>
    <w:rsid w:val="00383879"/>
    <w:rsid w:val="003919DA"/>
    <w:rsid w:val="00404907"/>
    <w:rsid w:val="0040786C"/>
    <w:rsid w:val="00410BD3"/>
    <w:rsid w:val="00430500"/>
    <w:rsid w:val="004B02BC"/>
    <w:rsid w:val="004B79C0"/>
    <w:rsid w:val="004B7C12"/>
    <w:rsid w:val="005F4AAC"/>
    <w:rsid w:val="00634F1F"/>
    <w:rsid w:val="00670861"/>
    <w:rsid w:val="00676E7C"/>
    <w:rsid w:val="006A790A"/>
    <w:rsid w:val="006E0692"/>
    <w:rsid w:val="007117C8"/>
    <w:rsid w:val="00753548"/>
    <w:rsid w:val="007779AC"/>
    <w:rsid w:val="00794E9A"/>
    <w:rsid w:val="007D492D"/>
    <w:rsid w:val="007E1FCC"/>
    <w:rsid w:val="00836D4D"/>
    <w:rsid w:val="008443AF"/>
    <w:rsid w:val="00877A9E"/>
    <w:rsid w:val="00911430"/>
    <w:rsid w:val="009150B3"/>
    <w:rsid w:val="00981314"/>
    <w:rsid w:val="00A116DC"/>
    <w:rsid w:val="00A52ED3"/>
    <w:rsid w:val="00AD4A4A"/>
    <w:rsid w:val="00AE2DDA"/>
    <w:rsid w:val="00B1045D"/>
    <w:rsid w:val="00B16965"/>
    <w:rsid w:val="00B41A54"/>
    <w:rsid w:val="00B73ED4"/>
    <w:rsid w:val="00BA6DFE"/>
    <w:rsid w:val="00BB15A3"/>
    <w:rsid w:val="00BE5437"/>
    <w:rsid w:val="00CA2429"/>
    <w:rsid w:val="00CA3620"/>
    <w:rsid w:val="00CB6CF0"/>
    <w:rsid w:val="00CE53F3"/>
    <w:rsid w:val="00CE6765"/>
    <w:rsid w:val="00CF1714"/>
    <w:rsid w:val="00D20FCF"/>
    <w:rsid w:val="00DB13FC"/>
    <w:rsid w:val="00DE1781"/>
    <w:rsid w:val="00DE63DE"/>
    <w:rsid w:val="00DF1FB7"/>
    <w:rsid w:val="00E15E52"/>
    <w:rsid w:val="00E35ED4"/>
    <w:rsid w:val="00E53520"/>
    <w:rsid w:val="00E72EEA"/>
    <w:rsid w:val="00EC619E"/>
    <w:rsid w:val="00ED0DF2"/>
    <w:rsid w:val="00F34532"/>
    <w:rsid w:val="00F401BF"/>
    <w:rsid w:val="00F43DBF"/>
    <w:rsid w:val="00F77CF5"/>
    <w:rsid w:val="00FC58FB"/>
    <w:rsid w:val="00FD1D1C"/>
    <w:rsid w:val="00FD2E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62</TotalTime>
  <Pages>2</Pages>
  <Words>615</Words>
  <Characters>3532</Characters>
  <Application>Microsoft Office Word</Application>
  <DocSecurity>0</DocSecurity>
  <Lines>70</Lines>
  <Paragraphs>24</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9</cp:revision>
  <dcterms:created xsi:type="dcterms:W3CDTF">2013-07-05T12:33:00Z</dcterms:created>
  <dcterms:modified xsi:type="dcterms:W3CDTF">2013-07-05T13:42:00Z</dcterms:modified>
  <cp:category/>
</cp:coreProperties>
</file>